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AF033" w14:textId="231738A9" w:rsidR="00194000" w:rsidRPr="000822F1" w:rsidRDefault="001E5E62" w:rsidP="00194000">
      <w:pPr>
        <w:rPr>
          <w:rFonts w:ascii="Verdana" w:hAnsi="Verdana"/>
          <w:b/>
          <w:bCs/>
          <w:sz w:val="20"/>
          <w:szCs w:val="20"/>
        </w:rPr>
      </w:pPr>
      <w:r w:rsidRPr="005564E6">
        <w:rPr>
          <w:noProof/>
          <w:sz w:val="2"/>
          <w:szCs w:val="2"/>
        </w:rPr>
        <mc:AlternateContent>
          <mc:Choice Requires="wps">
            <w:drawing>
              <wp:anchor distT="45720" distB="45720" distL="114300" distR="114300" simplePos="0" relativeHeight="251669504" behindDoc="0" locked="0" layoutInCell="1" allowOverlap="1" wp14:anchorId="58315569" wp14:editId="0F509EEA">
                <wp:simplePos x="0" y="0"/>
                <wp:positionH relativeFrom="column">
                  <wp:posOffset>67945</wp:posOffset>
                </wp:positionH>
                <wp:positionV relativeFrom="paragraph">
                  <wp:posOffset>358775</wp:posOffset>
                </wp:positionV>
                <wp:extent cx="4922520" cy="1356360"/>
                <wp:effectExtent l="0" t="0" r="0" b="0"/>
                <wp:wrapNone/>
                <wp:docPr id="1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1356360"/>
                        </a:xfrm>
                        <a:prstGeom prst="rect">
                          <a:avLst/>
                        </a:prstGeom>
                        <a:noFill/>
                        <a:ln w="9525">
                          <a:noFill/>
                          <a:miter lim="800000"/>
                          <a:headEnd/>
                          <a:tailEnd/>
                        </a:ln>
                      </wps:spPr>
                      <wps:txbx>
                        <w:txbxContent>
                          <w:p w14:paraId="75989719" w14:textId="657A9E65" w:rsidR="001E5E62" w:rsidRPr="00FC3C7B" w:rsidRDefault="001E5E62" w:rsidP="001E5E62">
                            <w:pPr>
                              <w:rPr>
                                <w:rFonts w:ascii="Verdana" w:hAnsi="Verdana"/>
                                <w:b/>
                                <w:bCs/>
                                <w:color w:val="FFFFFF" w:themeColor="background1"/>
                                <w:sz w:val="36"/>
                                <w:szCs w:val="36"/>
                              </w:rPr>
                            </w:pPr>
                            <w:r w:rsidRPr="00FC3C7B">
                              <w:rPr>
                                <w:rFonts w:ascii="Verdana" w:hAnsi="Verdana" w:cstheme="minorHAnsi"/>
                                <w:b/>
                                <w:bCs/>
                                <w:color w:val="FFFFFF" w:themeColor="background1"/>
                                <w:sz w:val="60"/>
                                <w:szCs w:val="60"/>
                              </w:rPr>
                              <w:t>Case</w:t>
                            </w:r>
                            <w:r w:rsidRPr="00FC3C7B">
                              <w:rPr>
                                <w:rFonts w:ascii="Verdana" w:hAnsi="Verdana" w:cstheme="minorHAnsi"/>
                                <w:b/>
                                <w:bCs/>
                                <w:color w:val="FFFFFF" w:themeColor="background1"/>
                                <w:sz w:val="36"/>
                                <w:szCs w:val="36"/>
                              </w:rPr>
                              <w:t xml:space="preserve"> </w:t>
                            </w:r>
                            <w:r w:rsidRPr="00FC3C7B">
                              <w:rPr>
                                <w:rFonts w:ascii="Verdana" w:hAnsi="Verdana" w:cstheme="minorHAnsi"/>
                                <w:b/>
                                <w:bCs/>
                                <w:color w:val="FFFFFF" w:themeColor="background1"/>
                                <w:sz w:val="36"/>
                                <w:szCs w:val="36"/>
                              </w:rPr>
                              <w:br/>
                              <w:t xml:space="preserve">- </w:t>
                            </w:r>
                            <w:r>
                              <w:rPr>
                                <w:rFonts w:ascii="Verdana" w:hAnsi="Verdana"/>
                                <w:b/>
                                <w:bCs/>
                                <w:color w:val="FFFFFF" w:themeColor="background1"/>
                                <w:sz w:val="36"/>
                                <w:szCs w:val="36"/>
                              </w:rPr>
                              <w:t>Reguleringsprocentøvelse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15569" id="_x0000_s1029" type="#_x0000_t202" style="position:absolute;margin-left:5.35pt;margin-top:28.25pt;width:387.6pt;height:106.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" filled="f" stroked="f">
                <v:textbox>
                  <w:txbxContent>
                    <w:p w14:paraId="75989719" w14:textId="657A9E65" w:rsidR="001E5E62" w:rsidRPr="00FC3C7B" w:rsidRDefault="001E5E62" w:rsidP="001E5E62">
                      <w:pPr>
                        <w:rPr>
                          <w:rFonts w:ascii="Verdana" w:hAnsi="Verdana"/>
                          <w:b/>
                          <w:bCs/>
                          <w:color w:val="FFFFFF" w:themeColor="background1"/>
                          <w:sz w:val="36"/>
                          <w:szCs w:val="36"/>
                        </w:rPr>
                      </w:pPr>
                      <w:r w:rsidRPr="00FC3C7B">
                        <w:rPr>
                          <w:rFonts w:ascii="Verdana" w:hAnsi="Verdana" w:cstheme="minorHAnsi"/>
                          <w:b/>
                          <w:bCs/>
                          <w:color w:val="FFFFFF" w:themeColor="background1"/>
                          <w:sz w:val="60"/>
                          <w:szCs w:val="60"/>
                        </w:rPr>
                        <w:t>Case</w:t>
                      </w:r>
                      <w:r w:rsidRPr="00FC3C7B">
                        <w:rPr>
                          <w:rFonts w:ascii="Verdana" w:hAnsi="Verdana" w:cstheme="minorHAnsi"/>
                          <w:b/>
                          <w:bCs/>
                          <w:color w:val="FFFFFF" w:themeColor="background1"/>
                          <w:sz w:val="36"/>
                          <w:szCs w:val="36"/>
                        </w:rPr>
                        <w:t xml:space="preserve"> </w:t>
                      </w:r>
                      <w:r w:rsidRPr="00FC3C7B">
                        <w:rPr>
                          <w:rFonts w:ascii="Verdana" w:hAnsi="Verdana" w:cstheme="minorHAnsi"/>
                          <w:b/>
                          <w:bCs/>
                          <w:color w:val="FFFFFF" w:themeColor="background1"/>
                          <w:sz w:val="36"/>
                          <w:szCs w:val="36"/>
                        </w:rPr>
                        <w:br/>
                        <w:t xml:space="preserve">- </w:t>
                      </w:r>
                      <w:r>
                        <w:rPr>
                          <w:rFonts w:ascii="Verdana" w:hAnsi="Verdana"/>
                          <w:b/>
                          <w:bCs/>
                          <w:color w:val="FFFFFF" w:themeColor="background1"/>
                          <w:sz w:val="36"/>
                          <w:szCs w:val="36"/>
                        </w:rPr>
                        <w:t>Reguleringsprocentøvelse</w:t>
                      </w:r>
                    </w:p>
                  </w:txbxContent>
                </v:textbox>
              </v:shape>
            </w:pict>
          </mc:Fallback>
        </mc:AlternateContent>
      </w:r>
      <w:r w:rsidR="00552A34">
        <w:rPr>
          <w:rFonts w:ascii="Times New Roman" w:hAnsi="Times New Roman" w:cs="Times New Roman"/>
          <w:noProof/>
          <w:sz w:val="20"/>
          <w:szCs w:val="20"/>
        </w:rPr>
        <w:drawing>
          <wp:inline distT="0" distB="0" distL="0" distR="0" wp14:anchorId="1AC48650" wp14:editId="4E953772">
            <wp:extent cx="4029075" cy="1543050"/>
            <wp:effectExtent l="0" t="0" r="9525" b="0"/>
            <wp:docPr id="2133090341" name="Billede 4" descr="Et billede, der indeholder rød, stationæ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090341" name="Billede 4" descr="Et billede, der indeholder rød, stationær&#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9075" cy="1543050"/>
                    </a:xfrm>
                    <a:prstGeom prst="rect">
                      <a:avLst/>
                    </a:prstGeom>
                    <a:noFill/>
                    <a:ln>
                      <a:noFill/>
                    </a:ln>
                  </pic:spPr>
                </pic:pic>
              </a:graphicData>
            </a:graphic>
          </wp:inline>
        </w:drawing>
      </w:r>
    </w:p>
    <w:p w14:paraId="60AEC911" w14:textId="70823730" w:rsidR="001E5E62" w:rsidRPr="00C35786" w:rsidRDefault="001E5E62" w:rsidP="001E5E62">
      <w:pPr>
        <w:rPr>
          <w:rFonts w:ascii="Verdana" w:hAnsi="Verdana"/>
          <w:b/>
          <w:bCs/>
          <w:sz w:val="28"/>
          <w:szCs w:val="28"/>
        </w:rPr>
      </w:pPr>
      <w:r w:rsidRPr="00C35786">
        <w:rPr>
          <w:rFonts w:ascii="Verdana" w:hAnsi="Verdana"/>
          <w:b/>
          <w:bCs/>
          <w:sz w:val="28"/>
          <w:szCs w:val="28"/>
        </w:rPr>
        <w:t>Kommunal</w:t>
      </w:r>
    </w:p>
    <w:p w14:paraId="24FCB805" w14:textId="77777777" w:rsidR="001E5E62" w:rsidRPr="007B2674" w:rsidRDefault="001E5E62" w:rsidP="001E5E62">
      <w:pPr>
        <w:rPr>
          <w:rFonts w:ascii="Verdana" w:hAnsi="Verdana"/>
          <w:sz w:val="20"/>
          <w:szCs w:val="20"/>
        </w:rPr>
      </w:pPr>
      <w:r w:rsidRPr="007B2674">
        <w:rPr>
          <w:rFonts w:ascii="Verdana" w:hAnsi="Verdana"/>
          <w:sz w:val="20"/>
          <w:szCs w:val="20"/>
        </w:rPr>
        <w:t>Løn beregnes altid i enten grundbeløb eller nutidskroner.</w:t>
      </w:r>
    </w:p>
    <w:p w14:paraId="0E2C6FB6" w14:textId="77777777" w:rsidR="001E5E62" w:rsidRPr="007B2674" w:rsidRDefault="001E5E62" w:rsidP="001E5E62">
      <w:pPr>
        <w:rPr>
          <w:rFonts w:ascii="Verdana" w:hAnsi="Verdana"/>
          <w:sz w:val="20"/>
          <w:szCs w:val="20"/>
        </w:rPr>
      </w:pPr>
      <w:r w:rsidRPr="007B2674">
        <w:rPr>
          <w:rFonts w:ascii="Verdana" w:hAnsi="Verdana"/>
          <w:sz w:val="20"/>
          <w:szCs w:val="20"/>
        </w:rPr>
        <w:t>Grundbeløbet bliver angivet i 31.3.2000-niveau, og er den måde vi hovedsageligt taler om løn på.</w:t>
      </w:r>
    </w:p>
    <w:p w14:paraId="59C64F10" w14:textId="77777777" w:rsidR="001E5E62" w:rsidRPr="007B2674" w:rsidRDefault="001E5E62" w:rsidP="001E5E62">
      <w:pPr>
        <w:rPr>
          <w:rFonts w:ascii="Verdana" w:hAnsi="Verdana"/>
          <w:sz w:val="20"/>
          <w:szCs w:val="20"/>
        </w:rPr>
      </w:pPr>
      <w:r w:rsidRPr="007B2674">
        <w:rPr>
          <w:rFonts w:ascii="Verdana" w:hAnsi="Verdana"/>
          <w:sz w:val="20"/>
          <w:szCs w:val="20"/>
        </w:rPr>
        <w:t>Når der til overenskomstforhandlinger bliver tilføjet lønmidler, aftaler parterne hvordan de skal fordeles over overenskomstperioden. Det medfører at reguleringsprocenten ændrer sig, og lønnen derved stiger, på trods af at angivelsen af løn i grundbeløb forbliver den samme.</w:t>
      </w:r>
    </w:p>
    <w:p w14:paraId="27D410A0" w14:textId="77777777" w:rsidR="001E5E62" w:rsidRPr="007B2674" w:rsidRDefault="001E5E62" w:rsidP="001E5E62">
      <w:pPr>
        <w:rPr>
          <w:rFonts w:ascii="Verdana" w:hAnsi="Verdana"/>
          <w:sz w:val="20"/>
          <w:szCs w:val="20"/>
        </w:rPr>
      </w:pPr>
      <w:r w:rsidRPr="007B2674">
        <w:rPr>
          <w:rFonts w:ascii="Verdana" w:hAnsi="Verdana"/>
          <w:sz w:val="20"/>
          <w:szCs w:val="20"/>
        </w:rPr>
        <w:t>Nedenfor kan I se det grundbeløb som bruges på dit område, og den aktuelle reguleringsprocent.</w:t>
      </w:r>
    </w:p>
    <w:p w14:paraId="0D8E8E9D" w14:textId="77777777" w:rsidR="001E5E62" w:rsidRPr="007B2674" w:rsidRDefault="001E5E62" w:rsidP="001E5E62">
      <w:pPr>
        <w:rPr>
          <w:rFonts w:ascii="Verdana" w:hAnsi="Verdana"/>
          <w:sz w:val="20"/>
          <w:szCs w:val="20"/>
        </w:rPr>
      </w:pPr>
    </w:p>
    <w:p w14:paraId="3101D143" w14:textId="77777777" w:rsidR="001E5E62" w:rsidRPr="007B2674" w:rsidRDefault="001E5E62" w:rsidP="001E5E62">
      <w:pPr>
        <w:pBdr>
          <w:top w:val="single" w:sz="4" w:space="1" w:color="auto"/>
          <w:left w:val="single" w:sz="4" w:space="4" w:color="auto"/>
          <w:bottom w:val="single" w:sz="4" w:space="1" w:color="auto"/>
          <w:right w:val="single" w:sz="4" w:space="4" w:color="auto"/>
        </w:pBdr>
        <w:rPr>
          <w:rFonts w:ascii="Verdana" w:hAnsi="Verdana"/>
          <w:b/>
          <w:bCs/>
          <w:sz w:val="20"/>
          <w:szCs w:val="20"/>
        </w:rPr>
      </w:pPr>
      <w:r w:rsidRPr="007B2674">
        <w:rPr>
          <w:rFonts w:ascii="Verdana" w:hAnsi="Verdana"/>
          <w:b/>
          <w:bCs/>
          <w:sz w:val="20"/>
          <w:szCs w:val="20"/>
        </w:rPr>
        <w:t>Grundbeløb: 31.3.2000-niveau</w:t>
      </w:r>
    </w:p>
    <w:p w14:paraId="2DC5C1F8" w14:textId="652FB168" w:rsidR="001E5E62" w:rsidRPr="007B2674" w:rsidRDefault="001E5E62" w:rsidP="001E5E62">
      <w:pPr>
        <w:pBdr>
          <w:top w:val="single" w:sz="4" w:space="1" w:color="auto"/>
          <w:left w:val="single" w:sz="4" w:space="4" w:color="auto"/>
          <w:bottom w:val="single" w:sz="4" w:space="1" w:color="auto"/>
          <w:right w:val="single" w:sz="4" w:space="4" w:color="auto"/>
        </w:pBdr>
        <w:rPr>
          <w:rFonts w:ascii="Verdana" w:hAnsi="Verdana"/>
          <w:b/>
          <w:bCs/>
          <w:sz w:val="20"/>
          <w:szCs w:val="20"/>
        </w:rPr>
      </w:pPr>
      <w:r w:rsidRPr="007B2674">
        <w:rPr>
          <w:rFonts w:ascii="Verdana" w:hAnsi="Verdana"/>
          <w:b/>
          <w:bCs/>
          <w:sz w:val="20"/>
          <w:szCs w:val="20"/>
        </w:rPr>
        <w:t>Reguleringsprocent pr. 01-10-202</w:t>
      </w:r>
      <w:r w:rsidR="004B363A">
        <w:rPr>
          <w:rFonts w:ascii="Verdana" w:hAnsi="Verdana"/>
          <w:b/>
          <w:bCs/>
          <w:sz w:val="20"/>
          <w:szCs w:val="20"/>
        </w:rPr>
        <w:t>3</w:t>
      </w:r>
    </w:p>
    <w:p w14:paraId="16AF1DA4" w14:textId="28AD19FF" w:rsidR="001E5E62" w:rsidRPr="007B2674" w:rsidRDefault="001E5E62" w:rsidP="001E5E62">
      <w:pPr>
        <w:pBdr>
          <w:top w:val="single" w:sz="4" w:space="1" w:color="auto"/>
          <w:left w:val="single" w:sz="4" w:space="4" w:color="auto"/>
          <w:bottom w:val="single" w:sz="4" w:space="1" w:color="auto"/>
          <w:right w:val="single" w:sz="4" w:space="4" w:color="auto"/>
        </w:pBdr>
        <w:rPr>
          <w:rFonts w:ascii="Verdana" w:hAnsi="Verdana"/>
          <w:b/>
          <w:bCs/>
          <w:sz w:val="20"/>
          <w:szCs w:val="20"/>
        </w:rPr>
      </w:pPr>
      <w:r w:rsidRPr="007B2674">
        <w:rPr>
          <w:rFonts w:ascii="Verdana" w:hAnsi="Verdana"/>
          <w:b/>
          <w:bCs/>
          <w:sz w:val="20"/>
          <w:szCs w:val="20"/>
        </w:rPr>
        <w:t>1,</w:t>
      </w:r>
      <w:r w:rsidR="00E30986">
        <w:rPr>
          <w:rFonts w:ascii="Verdana" w:hAnsi="Verdana"/>
          <w:b/>
          <w:bCs/>
          <w:sz w:val="20"/>
          <w:szCs w:val="20"/>
        </w:rPr>
        <w:t>516971</w:t>
      </w:r>
    </w:p>
    <w:p w14:paraId="5710C82F" w14:textId="77777777" w:rsidR="001E5E62" w:rsidRPr="007B2674" w:rsidRDefault="001E5E62" w:rsidP="001E5E62">
      <w:pPr>
        <w:rPr>
          <w:rFonts w:ascii="Verdana" w:hAnsi="Verdana"/>
          <w:sz w:val="20"/>
          <w:szCs w:val="20"/>
        </w:rPr>
      </w:pPr>
    </w:p>
    <w:p w14:paraId="75495695" w14:textId="1C7A6021" w:rsidR="001E5E62" w:rsidRPr="007B2674" w:rsidRDefault="001E5E62" w:rsidP="001E5E62">
      <w:pPr>
        <w:rPr>
          <w:rFonts w:ascii="Verdana" w:hAnsi="Verdana"/>
          <w:sz w:val="20"/>
          <w:szCs w:val="20"/>
        </w:rPr>
      </w:pPr>
      <w:r w:rsidRPr="007B2674">
        <w:rPr>
          <w:rFonts w:ascii="Verdana" w:hAnsi="Verdana"/>
          <w:b/>
          <w:bCs/>
          <w:sz w:val="20"/>
          <w:szCs w:val="20"/>
        </w:rPr>
        <w:t>Beregn følgende forhandlingssituationer med reguleringsprocenten:</w:t>
      </w:r>
      <w:r w:rsidR="00C35786">
        <w:rPr>
          <w:rFonts w:ascii="Verdana" w:hAnsi="Verdana"/>
          <w:b/>
          <w:bCs/>
          <w:sz w:val="20"/>
          <w:szCs w:val="20"/>
        </w:rPr>
        <w:br/>
      </w:r>
      <w:r w:rsidR="00C35786">
        <w:rPr>
          <w:rFonts w:ascii="Verdana" w:hAnsi="Verdana"/>
          <w:b/>
          <w:bCs/>
          <w:sz w:val="20"/>
          <w:szCs w:val="20"/>
        </w:rPr>
        <w:br/>
      </w:r>
      <w:r w:rsidRPr="007B2674">
        <w:rPr>
          <w:rFonts w:ascii="Verdana" w:hAnsi="Verdana"/>
          <w:sz w:val="20"/>
          <w:szCs w:val="20"/>
        </w:rPr>
        <w:t>Du har forhandlet et kvalifikationstillæg til din kollega på 4.500 kr. i årligt grundbeløb, og nu vil din kollega gerne vide hvad de får udbetalt om måneden i nutidskroner. Hvilket beløb får din kollega?</w:t>
      </w:r>
    </w:p>
    <w:p w14:paraId="198B7663" w14:textId="05C2C85E" w:rsidR="001E5E62" w:rsidRPr="007B2674" w:rsidRDefault="001E5E62" w:rsidP="001E5E62">
      <w:pPr>
        <w:rPr>
          <w:rFonts w:ascii="Verdana" w:hAnsi="Verdana"/>
          <w:sz w:val="20"/>
          <w:szCs w:val="20"/>
        </w:rPr>
      </w:pPr>
      <w:r w:rsidRPr="007B2674">
        <w:rPr>
          <w:rFonts w:ascii="Verdana" w:hAnsi="Verdana"/>
          <w:sz w:val="20"/>
          <w:szCs w:val="20"/>
        </w:rPr>
        <w:t xml:space="preserve">Svar: </w:t>
      </w:r>
      <w:r w:rsidR="00455EED">
        <w:rPr>
          <w:rFonts w:ascii="Verdana" w:hAnsi="Verdana"/>
          <w:sz w:val="20"/>
          <w:szCs w:val="20"/>
        </w:rPr>
        <w:t>568</w:t>
      </w:r>
      <w:r w:rsidR="00DC5FB0">
        <w:rPr>
          <w:rFonts w:ascii="Verdana" w:hAnsi="Verdana"/>
          <w:sz w:val="20"/>
          <w:szCs w:val="20"/>
        </w:rPr>
        <w:t>,9</w:t>
      </w:r>
      <w:r w:rsidRPr="007B2674">
        <w:rPr>
          <w:rFonts w:ascii="Verdana" w:hAnsi="Verdana"/>
          <w:sz w:val="20"/>
          <w:szCs w:val="20"/>
          <w:u w:val="single"/>
        </w:rPr>
        <w:tab/>
        <w:t xml:space="preserve">     </w:t>
      </w:r>
      <w:r w:rsidRPr="007B2674">
        <w:rPr>
          <w:rFonts w:ascii="Verdana" w:hAnsi="Verdana"/>
          <w:sz w:val="20"/>
          <w:szCs w:val="20"/>
        </w:rPr>
        <w:t xml:space="preserve">  </w:t>
      </w:r>
    </w:p>
    <w:p w14:paraId="164968F1" w14:textId="77777777" w:rsidR="001E5E62" w:rsidRPr="007B2674" w:rsidRDefault="001E5E62" w:rsidP="001E5E62">
      <w:pPr>
        <w:rPr>
          <w:rFonts w:ascii="Verdana" w:hAnsi="Verdana"/>
          <w:sz w:val="20"/>
          <w:szCs w:val="20"/>
        </w:rPr>
      </w:pPr>
    </w:p>
    <w:p w14:paraId="194BA924" w14:textId="77777777" w:rsidR="001E5E62" w:rsidRPr="007B2674" w:rsidRDefault="001E5E62" w:rsidP="001E5E62">
      <w:pPr>
        <w:rPr>
          <w:rFonts w:ascii="Verdana" w:hAnsi="Verdana"/>
          <w:sz w:val="20"/>
          <w:szCs w:val="20"/>
        </w:rPr>
      </w:pPr>
      <w:r w:rsidRPr="007B2674">
        <w:rPr>
          <w:rFonts w:ascii="Verdana" w:hAnsi="Verdana"/>
          <w:sz w:val="20"/>
          <w:szCs w:val="20"/>
        </w:rPr>
        <w:t>Der er forhandlet tre nye funktionstillæg på henholdsvis 3.000 kr., 4.500 kr. og 7.000 kr. alle i grundbeløb for vigtige funktioner i afdelingen. Din ledelse mener derfor at det samlede beløb må trækkes fra i de lokalelønforhandlinger. Hvor meget bliver de tre tillæg sammenlagt i nutidskroner?</w:t>
      </w:r>
    </w:p>
    <w:p w14:paraId="06A4776A" w14:textId="52CEC011" w:rsidR="001E5E62" w:rsidRPr="007B2674" w:rsidRDefault="001E5E62" w:rsidP="001E5E62">
      <w:pPr>
        <w:rPr>
          <w:rFonts w:ascii="Verdana" w:hAnsi="Verdana"/>
          <w:sz w:val="20"/>
          <w:szCs w:val="20"/>
          <w:u w:val="single"/>
        </w:rPr>
      </w:pPr>
      <w:r w:rsidRPr="007B2674">
        <w:rPr>
          <w:rFonts w:ascii="Verdana" w:hAnsi="Verdana"/>
          <w:sz w:val="20"/>
          <w:szCs w:val="20"/>
        </w:rPr>
        <w:t xml:space="preserve">Svar: </w:t>
      </w:r>
      <w:r w:rsidR="00631E2F">
        <w:rPr>
          <w:rFonts w:ascii="Verdana" w:hAnsi="Verdana"/>
          <w:sz w:val="20"/>
          <w:szCs w:val="20"/>
        </w:rPr>
        <w:t>21</w:t>
      </w:r>
      <w:r w:rsidR="00651126">
        <w:rPr>
          <w:rFonts w:ascii="Verdana" w:hAnsi="Verdana"/>
          <w:sz w:val="20"/>
          <w:szCs w:val="20"/>
        </w:rPr>
        <w:t>.</w:t>
      </w:r>
      <w:r w:rsidR="00631E2F">
        <w:rPr>
          <w:rFonts w:ascii="Verdana" w:hAnsi="Verdana"/>
          <w:sz w:val="20"/>
          <w:szCs w:val="20"/>
        </w:rPr>
        <w:t>996</w:t>
      </w:r>
      <w:r w:rsidRPr="007B2674">
        <w:rPr>
          <w:rFonts w:ascii="Verdana" w:hAnsi="Verdana"/>
          <w:sz w:val="20"/>
          <w:szCs w:val="20"/>
          <w:u w:val="single"/>
        </w:rPr>
        <w:tab/>
      </w:r>
    </w:p>
    <w:p w14:paraId="6E85CCDC" w14:textId="77777777" w:rsidR="001E5E62" w:rsidRPr="007B2674" w:rsidRDefault="001E5E62" w:rsidP="001E5E62">
      <w:pPr>
        <w:rPr>
          <w:rFonts w:ascii="Verdana" w:hAnsi="Verdana"/>
          <w:sz w:val="20"/>
          <w:szCs w:val="20"/>
          <w:u w:val="single"/>
        </w:rPr>
      </w:pPr>
    </w:p>
    <w:p w14:paraId="1E110C56" w14:textId="77777777" w:rsidR="001E5E62" w:rsidRPr="007B2674" w:rsidRDefault="001E5E62" w:rsidP="001E5E62">
      <w:pPr>
        <w:rPr>
          <w:rFonts w:ascii="Verdana" w:hAnsi="Verdana"/>
          <w:sz w:val="20"/>
          <w:szCs w:val="20"/>
        </w:rPr>
      </w:pPr>
      <w:r w:rsidRPr="007B2674">
        <w:rPr>
          <w:rFonts w:ascii="Verdana" w:hAnsi="Verdana"/>
          <w:sz w:val="20"/>
          <w:szCs w:val="20"/>
        </w:rPr>
        <w:t>Din ledelse synes at det er besværligt at forhandle i grundbeløb, og foretrækker at tale i nutidskroner. Din leder vil gerne give et kvalifikationstillæg til din kollega som giver vedkommende 650 kr. mere om måneden i nutidskroner. Hvor meget skal tillægget være på i det korrekte grundbeløb, som det vil fremgå af lønsystemet?</w:t>
      </w:r>
    </w:p>
    <w:p w14:paraId="33445CF4" w14:textId="45651B22" w:rsidR="001E5E62" w:rsidRPr="007D14EC" w:rsidRDefault="001E5E62" w:rsidP="00054821">
      <w:pPr>
        <w:rPr>
          <w:rFonts w:ascii="Verdana" w:hAnsi="Verdana"/>
          <w:sz w:val="20"/>
          <w:szCs w:val="20"/>
        </w:rPr>
      </w:pPr>
      <w:r w:rsidRPr="007B2674">
        <w:rPr>
          <w:rFonts w:ascii="Verdana" w:hAnsi="Verdana"/>
          <w:sz w:val="20"/>
          <w:szCs w:val="20"/>
        </w:rPr>
        <w:t xml:space="preserve">Svar: </w:t>
      </w:r>
      <w:r w:rsidR="00651126">
        <w:rPr>
          <w:rFonts w:ascii="Verdana" w:hAnsi="Verdana"/>
          <w:sz w:val="20"/>
          <w:szCs w:val="20"/>
        </w:rPr>
        <w:t>5.141,8</w:t>
      </w:r>
      <w:r w:rsidRPr="007B2674">
        <w:rPr>
          <w:rFonts w:ascii="Verdana" w:hAnsi="Verdana"/>
          <w:sz w:val="20"/>
          <w:szCs w:val="20"/>
          <w:u w:val="single"/>
        </w:rPr>
        <w:tab/>
      </w:r>
    </w:p>
    <w:sectPr w:rsidR="001E5E62" w:rsidRPr="007D14EC" w:rsidSect="00F47338">
      <w:headerReference w:type="default" r:id="rId7"/>
      <w:footerReference w:type="default" r:id="rId8"/>
      <w:pgSz w:w="11906" w:h="16838"/>
      <w:pgMar w:top="1418" w:right="1134" w:bottom="709"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988C4" w14:textId="77777777" w:rsidR="00F47338" w:rsidRDefault="00F47338" w:rsidP="00E26B42">
      <w:pPr>
        <w:spacing w:after="0" w:line="240" w:lineRule="auto"/>
      </w:pPr>
      <w:r>
        <w:separator/>
      </w:r>
    </w:p>
  </w:endnote>
  <w:endnote w:type="continuationSeparator" w:id="0">
    <w:p w14:paraId="69325B51" w14:textId="77777777" w:rsidR="00F47338" w:rsidRDefault="00F47338" w:rsidP="00E2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2C34" w14:textId="2FD2645F" w:rsidR="00E26B42" w:rsidRDefault="00E26B42" w:rsidP="00E26B42">
    <w:pPr>
      <w:spacing w:before="20"/>
      <w:ind w:left="20"/>
      <w:rPr>
        <w:sz w:val="16"/>
      </w:rPr>
    </w:pPr>
    <w:r>
      <w:rPr>
        <w:color w:val="231F20"/>
        <w:spacing w:val="-2"/>
        <w:sz w:val="16"/>
      </w:rPr>
      <w:br/>
      <w:t>TR</w:t>
    </w:r>
    <w:r w:rsidR="00555CE6">
      <w:rPr>
        <w:color w:val="231F20"/>
        <w:spacing w:val="-2"/>
        <w:sz w:val="16"/>
      </w:rPr>
      <w:t xml:space="preserve"> som forhandler</w:t>
    </w:r>
  </w:p>
  <w:p w14:paraId="45615CB6" w14:textId="77777777" w:rsidR="00E26B42" w:rsidRDefault="00E26B4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90393" w14:textId="77777777" w:rsidR="00F47338" w:rsidRDefault="00F47338" w:rsidP="00E26B42">
      <w:pPr>
        <w:spacing w:after="0" w:line="240" w:lineRule="auto"/>
      </w:pPr>
      <w:r>
        <w:separator/>
      </w:r>
    </w:p>
  </w:footnote>
  <w:footnote w:type="continuationSeparator" w:id="0">
    <w:p w14:paraId="60C4A66A" w14:textId="77777777" w:rsidR="00F47338" w:rsidRDefault="00F47338" w:rsidP="00E26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D2377" w14:textId="121B73FB" w:rsidR="00E26B42" w:rsidRDefault="00964A7C">
    <w:pPr>
      <w:pStyle w:val="Sidehoved"/>
    </w:pPr>
    <w:r>
      <w:rPr>
        <w:noProof/>
      </w:rPr>
      <w:drawing>
        <wp:anchor distT="0" distB="0" distL="114300" distR="114300" simplePos="0" relativeHeight="251658240" behindDoc="0" locked="0" layoutInCell="1" allowOverlap="1" wp14:anchorId="423D23A6" wp14:editId="757BDA5D">
          <wp:simplePos x="0" y="0"/>
          <wp:positionH relativeFrom="margin">
            <wp:align>left</wp:align>
          </wp:positionH>
          <wp:positionV relativeFrom="paragraph">
            <wp:posOffset>41910</wp:posOffset>
          </wp:positionV>
          <wp:extent cx="2084392" cy="238760"/>
          <wp:effectExtent l="0" t="0" r="0" b="8890"/>
          <wp:wrapSquare wrapText="bothSides"/>
          <wp:docPr id="1026653868" name="Billede 1026653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46809" name="Billede 2140746809"/>
                  <pic:cNvPicPr/>
                </pic:nvPicPr>
                <pic:blipFill>
                  <a:blip r:embed="rId1">
                    <a:extLst>
                      <a:ext uri="{28A0092B-C50C-407E-A947-70E740481C1C}">
                        <a14:useLocalDpi xmlns:a14="http://schemas.microsoft.com/office/drawing/2010/main" val="0"/>
                      </a:ext>
                    </a:extLst>
                  </a:blip>
                  <a:stretch>
                    <a:fillRect/>
                  </a:stretch>
                </pic:blipFill>
                <pic:spPr>
                  <a:xfrm>
                    <a:off x="0" y="0"/>
                    <a:ext cx="2084392" cy="2387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38"/>
    <w:rsid w:val="0002695A"/>
    <w:rsid w:val="00054821"/>
    <w:rsid w:val="000822F1"/>
    <w:rsid w:val="000D5544"/>
    <w:rsid w:val="000F7F21"/>
    <w:rsid w:val="001374C4"/>
    <w:rsid w:val="00194000"/>
    <w:rsid w:val="001E5E62"/>
    <w:rsid w:val="00253973"/>
    <w:rsid w:val="00362FC6"/>
    <w:rsid w:val="00400A8D"/>
    <w:rsid w:val="00455EED"/>
    <w:rsid w:val="004B363A"/>
    <w:rsid w:val="004F4651"/>
    <w:rsid w:val="00552A34"/>
    <w:rsid w:val="005545EB"/>
    <w:rsid w:val="00555CE6"/>
    <w:rsid w:val="00564715"/>
    <w:rsid w:val="00631E2F"/>
    <w:rsid w:val="00651126"/>
    <w:rsid w:val="006D578F"/>
    <w:rsid w:val="007008B9"/>
    <w:rsid w:val="00744AD0"/>
    <w:rsid w:val="007B2674"/>
    <w:rsid w:val="007D14EC"/>
    <w:rsid w:val="007F0E8C"/>
    <w:rsid w:val="008200E9"/>
    <w:rsid w:val="0084438B"/>
    <w:rsid w:val="008D3F34"/>
    <w:rsid w:val="008F64AD"/>
    <w:rsid w:val="00920345"/>
    <w:rsid w:val="00964A7C"/>
    <w:rsid w:val="00AB0187"/>
    <w:rsid w:val="00B54C38"/>
    <w:rsid w:val="00BF3F47"/>
    <w:rsid w:val="00C35786"/>
    <w:rsid w:val="00C52E91"/>
    <w:rsid w:val="00CC0998"/>
    <w:rsid w:val="00DC5FB0"/>
    <w:rsid w:val="00E26748"/>
    <w:rsid w:val="00E26B42"/>
    <w:rsid w:val="00E30986"/>
    <w:rsid w:val="00EA0C53"/>
    <w:rsid w:val="00F47338"/>
    <w:rsid w:val="00FC3C7B"/>
    <w:rsid w:val="00FF13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3C3CE"/>
  <w15:chartTrackingRefBased/>
  <w15:docId w15:val="{01936A28-2F01-45D1-87D9-2B213CBEC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FF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E26B4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26B42"/>
  </w:style>
  <w:style w:type="paragraph" w:styleId="Sidefod">
    <w:name w:val="footer"/>
    <w:basedOn w:val="Normal"/>
    <w:link w:val="SidefodTegn"/>
    <w:uiPriority w:val="99"/>
    <w:unhideWhenUsed/>
    <w:rsid w:val="00E26B4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26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32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219</Words>
  <Characters>1337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Danni Tofte Hansen</dc:creator>
  <cp:keywords/>
  <dc:description/>
  <cp:lastModifiedBy>Danni Tofte Hansen</cp:lastModifiedBy>
  <cp:revision>17</cp:revision>
  <dcterms:created xsi:type="dcterms:W3CDTF">2024-01-31T07:24:00Z</dcterms:created>
  <dcterms:modified xsi:type="dcterms:W3CDTF">2024-01-31T12:00:00Z</dcterms:modified>
</cp:coreProperties>
</file>